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hint="eastAsia" w:ascii="Arial" w:hAnsi="Arial" w:eastAsia="宋体" w:cs="Arial"/>
          <w:b/>
          <w:color w:val="auto"/>
          <w:sz w:val="24"/>
          <w:lang w:val="en-US" w:eastAsia="zh-CN"/>
        </w:rPr>
        <w:t>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200585</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25</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Jan</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Signalling characteristics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6.9.4.5</w:t>
      </w:r>
      <w:bookmarkStart w:id="3" w:name="_GoBack"/>
      <w:bookmarkEnd w:id="3"/>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a way forward on RRM NR FR2 HST was approved in [1]:</w:t>
      </w:r>
      <w:r>
        <w:rPr>
          <w:rFonts w:hint="default" w:eastAsia="宋体"/>
          <w:color w:val="auto"/>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rFonts w:eastAsiaTheme="minorEastAsia"/>
                <w:b/>
                <w:u w:val="single"/>
                <w:lang w:val="sv-SE" w:eastAsia="zh-CN"/>
              </w:rPr>
            </w:pPr>
            <w:r>
              <w:rPr>
                <w:rFonts w:eastAsiaTheme="minorEastAsia"/>
                <w:b/>
                <w:u w:val="single"/>
                <w:lang w:val="sv-SE" w:eastAsia="zh-CN"/>
              </w:rPr>
              <w:t xml:space="preserve">For RLM/BFD requirements </w:t>
            </w:r>
          </w:p>
          <w:p>
            <w:pPr>
              <w:pStyle w:val="27"/>
              <w:keepNext w:val="0"/>
              <w:keepLines w:val="0"/>
              <w:pageBreakBefore w:val="0"/>
              <w:numPr>
                <w:ilvl w:val="1"/>
                <w:numId w:val="4"/>
              </w:numPr>
              <w:kinsoku/>
              <w:wordWrap/>
              <w:overflowPunct/>
              <w:topLinePunct w:val="0"/>
              <w:autoSpaceDE/>
              <w:autoSpaceDN/>
              <w:bidi w:val="0"/>
              <w:adjustRightInd/>
              <w:snapToGrid/>
              <w:ind w:firstLineChars="0"/>
              <w:textAlignment w:val="auto"/>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The existing 1280ms duration for known condition is applied for FR2 HST scenario</w:t>
            </w:r>
          </w:p>
          <w:p>
            <w:pPr>
              <w:pStyle w:val="27"/>
              <w:keepNext w:val="0"/>
              <w:keepLines w:val="0"/>
              <w:pageBreakBefore w:val="0"/>
              <w:numPr>
                <w:ilvl w:val="1"/>
                <w:numId w:val="4"/>
              </w:numPr>
              <w:kinsoku/>
              <w:wordWrap/>
              <w:overflowPunct/>
              <w:topLinePunct w:val="0"/>
              <w:autoSpaceDE/>
              <w:autoSpaceDN/>
              <w:bidi w:val="0"/>
              <w:adjustRightInd/>
              <w:snapToGrid/>
              <w:ind w:firstLineChars="0"/>
              <w:textAlignment w:val="auto"/>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RAN4 will further study the RLM/BFD requirements for DRX &lt;=80ms for FR2 HST scenarios</w:t>
            </w:r>
          </w:p>
          <w:p>
            <w:pPr>
              <w:pStyle w:val="27"/>
              <w:keepNext w:val="0"/>
              <w:keepLines w:val="0"/>
              <w:pageBreakBefore w:val="0"/>
              <w:numPr>
                <w:ilvl w:val="2"/>
                <w:numId w:val="4"/>
              </w:numPr>
              <w:kinsoku/>
              <w:wordWrap/>
              <w:overflowPunct/>
              <w:topLinePunct w:val="0"/>
              <w:autoSpaceDE/>
              <w:autoSpaceDN/>
              <w:bidi w:val="0"/>
              <w:adjustRightInd/>
              <w:snapToGrid/>
              <w:ind w:firstLineChars="0"/>
              <w:textAlignment w:val="auto"/>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Option 1: following RX beam factor for set-1 and set-2</w:t>
            </w:r>
          </w:p>
          <w:p>
            <w:pPr>
              <w:pStyle w:val="27"/>
              <w:keepNext w:val="0"/>
              <w:keepLines w:val="0"/>
              <w:pageBreakBefore w:val="0"/>
              <w:numPr>
                <w:ilvl w:val="2"/>
                <w:numId w:val="4"/>
              </w:numPr>
              <w:kinsoku/>
              <w:wordWrap/>
              <w:overflowPunct/>
              <w:topLinePunct w:val="0"/>
              <w:autoSpaceDE/>
              <w:autoSpaceDN/>
              <w:bidi w:val="0"/>
              <w:adjustRightInd/>
              <w:snapToGrid/>
              <w:ind w:firstLineChars="0"/>
              <w:textAlignment w:val="auto"/>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Option 2: The existing RLM/BFD requirements for DRX &lt;=80ms is applied</w:t>
            </w:r>
          </w:p>
          <w:p>
            <w:pPr>
              <w:keepNext w:val="0"/>
              <w:keepLines w:val="0"/>
              <w:pageBreakBefore w:val="0"/>
              <w:kinsoku/>
              <w:wordWrap/>
              <w:overflowPunct/>
              <w:topLinePunct w:val="0"/>
              <w:autoSpaceDE/>
              <w:autoSpaceDN/>
              <w:bidi w:val="0"/>
              <w:adjustRightInd/>
              <w:snapToGrid/>
              <w:textAlignment w:val="auto"/>
              <w:rPr>
                <w:rFonts w:eastAsiaTheme="minorEastAsia"/>
                <w:b/>
                <w:u w:val="single"/>
                <w:lang w:val="sv-SE" w:eastAsia="zh-CN"/>
              </w:rPr>
            </w:pPr>
            <w:r>
              <w:rPr>
                <w:rFonts w:hint="eastAsia" w:eastAsiaTheme="minorEastAsia"/>
                <w:b/>
                <w:u w:val="single"/>
                <w:lang w:val="sv-SE" w:eastAsia="zh-CN"/>
              </w:rPr>
              <w:t>F</w:t>
            </w:r>
            <w:r>
              <w:rPr>
                <w:rFonts w:eastAsiaTheme="minorEastAsia"/>
                <w:b/>
                <w:u w:val="single"/>
                <w:lang w:val="sv-SE" w:eastAsia="zh-CN"/>
              </w:rPr>
              <w:t>or CBD requirements</w:t>
            </w:r>
          </w:p>
          <w:p>
            <w:pPr>
              <w:pStyle w:val="27"/>
              <w:keepNext w:val="0"/>
              <w:keepLines w:val="0"/>
              <w:pageBreakBefore w:val="0"/>
              <w:numPr>
                <w:ilvl w:val="1"/>
                <w:numId w:val="4"/>
              </w:numPr>
              <w:kinsoku/>
              <w:wordWrap/>
              <w:overflowPunct/>
              <w:topLinePunct w:val="0"/>
              <w:autoSpaceDE/>
              <w:autoSpaceDN/>
              <w:bidi w:val="0"/>
              <w:adjustRightInd/>
              <w:snapToGrid/>
              <w:ind w:firstLineChars="0"/>
              <w:textAlignment w:val="auto"/>
              <w:rPr>
                <w:rFonts w:hint="default"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No enhancement on CBD requirements for DRX &lt;=80ms</w:t>
            </w:r>
          </w:p>
        </w:tc>
      </w:tr>
    </w:tbl>
    <w:p>
      <w:pPr>
        <w:widowControl w:val="0"/>
        <w:numPr>
          <w:ilvl w:val="0"/>
          <w:numId w:val="0"/>
        </w:numPr>
        <w:jc w:val="both"/>
        <w:rPr>
          <w:rFonts w:hint="eastAsia" w:eastAsia="宋体"/>
          <w:kern w:val="2"/>
          <w:sz w:val="20"/>
          <w:szCs w:val="20"/>
          <w:lang w:val="en-US" w:eastAsia="zh-CN"/>
        </w:rPr>
      </w:pPr>
      <w:r>
        <w:rPr>
          <w:rFonts w:hint="eastAsia" w:eastAsia="宋体"/>
          <w:color w:val="auto"/>
          <w:sz w:val="20"/>
          <w:szCs w:val="20"/>
          <w:lang w:val="en-US" w:eastAsia="zh-CN"/>
        </w:rPr>
        <w:t>Based on the conclusion in 101 meeting, f</w:t>
      </w:r>
      <w:r>
        <w:rPr>
          <w:rFonts w:hint="eastAsia" w:eastAsia="宋体"/>
          <w:kern w:val="2"/>
          <w:sz w:val="20"/>
          <w:szCs w:val="20"/>
          <w:lang w:val="en-US" w:eastAsia="zh-CN"/>
        </w:rPr>
        <w:t>or Signalling characteristics, two issues are still open, we provide our analysis for the following two issues:</w:t>
      </w:r>
    </w:p>
    <w:p>
      <w:pPr>
        <w:pStyle w:val="15"/>
        <w:keepNext w:val="0"/>
        <w:keepLines w:val="0"/>
        <w:pageBreakBefore w:val="0"/>
        <w:widowControl/>
        <w:numPr>
          <w:ilvl w:val="1"/>
          <w:numId w:val="5"/>
        </w:numPr>
        <w:kinsoku/>
        <w:wordWrap/>
        <w:overflowPunct/>
        <w:topLinePunct w:val="0"/>
        <w:autoSpaceDE/>
        <w:autoSpaceDN/>
        <w:bidi w:val="0"/>
        <w:adjustRightInd/>
        <w:snapToGri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Whether enhance the TCI state switching delay requirements</w:t>
      </w:r>
    </w:p>
    <w:p>
      <w:pPr>
        <w:pStyle w:val="15"/>
        <w:keepNext w:val="0"/>
        <w:keepLines w:val="0"/>
        <w:pageBreakBefore w:val="0"/>
        <w:widowControl/>
        <w:numPr>
          <w:ilvl w:val="1"/>
          <w:numId w:val="5"/>
        </w:numPr>
        <w:kinsoku/>
        <w:wordWrap/>
        <w:overflowPunct/>
        <w:topLinePunct w:val="0"/>
        <w:autoSpaceDE/>
        <w:autoSpaceDN/>
        <w:bidi w:val="0"/>
        <w:adjustRightInd/>
        <w:snapToGrid/>
        <w:spacing w:before="0" w:beforeAutospacing="0" w:after="120" w:afterAutospacing="0"/>
        <w:ind w:left="317" w:hanging="357"/>
        <w:textAlignment w:val="auto"/>
        <w:rPr>
          <w:rFonts w:hint="default" w:ascii="Times New Roman" w:hAnsi="Times New Roman" w:cs="Times New Roman"/>
          <w:color w:val="auto"/>
          <w:sz w:val="20"/>
          <w:szCs w:val="20"/>
          <w:lang w:val="en-US" w:eastAsia="zh-CN" w:bidi="ar-SA"/>
        </w:rPr>
      </w:pPr>
      <w:bookmarkStart w:id="0" w:name="OLE_LINK2"/>
      <w:r>
        <w:rPr>
          <w:rFonts w:hint="eastAsia" w:ascii="Times New Roman" w:hAnsi="Times New Roman" w:cs="Times New Roman"/>
          <w:color w:val="auto"/>
          <w:sz w:val="20"/>
          <w:szCs w:val="20"/>
          <w:lang w:val="en-US" w:eastAsia="zh-CN" w:bidi="ar-SA"/>
        </w:rPr>
        <w:t>The RLM/BFD requirements for DRX &lt;=80ms for FR2 HST scenarios</w:t>
      </w:r>
    </w:p>
    <w:bookmarkEnd w:id="0"/>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color w:val="auto"/>
          <w:sz w:val="28"/>
          <w:szCs w:val="28"/>
          <w:lang w:val="en-US" w:eastAsia="zh-CN"/>
        </w:rPr>
      </w:pPr>
      <w:r>
        <w:rPr>
          <w:rFonts w:hint="eastAsia"/>
          <w:color w:val="auto"/>
          <w:sz w:val="28"/>
          <w:szCs w:val="28"/>
          <w:lang w:val="en-US" w:eastAsia="zh-CN"/>
        </w:rPr>
        <w:t>2.1 Whether enhance the TCI state switching delay requirements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Around the TCI state switching, two concerns proposed in HST FR2 scenarios. The first concern is whether 1280 ms should be reduced as the enhanced known condition for target TCI state. Since the moving distance over last 1280ms in high speed scenario could result in the coverage hole issue and delay jump. The second concern is the requirement of TCI state switching latency itself, whether quicker TCI state switching should be specified for HST FR2 scenarios.   </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For the first concern, it has been approved during 101 meeting that the existing 1280ms duration for known condition is still applied for FR2 HST scenario. Here we provide some further analysis for the second concern.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the second concern, two options proposed during 101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6"/>
              </w:numPr>
              <w:kinsoku/>
              <w:wordWrap/>
              <w:overflowPunct w:val="0"/>
              <w:topLinePunct w:val="0"/>
              <w:autoSpaceDE w:val="0"/>
              <w:autoSpaceDN w:val="0"/>
              <w:bidi w:val="0"/>
              <w:adjustRightInd w:val="0"/>
              <w:snapToGrid/>
              <w:jc w:val="both"/>
              <w:textAlignment w:val="baseline"/>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RAN4 will further study the TCI switching delay requirements</w:t>
            </w:r>
          </w:p>
          <w:p>
            <w:pPr>
              <w:pStyle w:val="27"/>
              <w:keepNext w:val="0"/>
              <w:keepLines w:val="0"/>
              <w:pageBreakBefore w:val="0"/>
              <w:widowControl w:val="0"/>
              <w:numPr>
                <w:ilvl w:val="1"/>
                <w:numId w:val="7"/>
              </w:numPr>
              <w:kinsoku/>
              <w:wordWrap/>
              <w:overflowPunct/>
              <w:topLinePunct w:val="0"/>
              <w:autoSpaceDE/>
              <w:autoSpaceDN/>
              <w:bidi w:val="0"/>
              <w:adjustRightInd/>
              <w:snapToGrid/>
              <w:ind w:left="1440" w:firstLineChars="0"/>
              <w:textAlignment w:val="auto"/>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Option 1: Keeping the 1280ms duration for known condition </w:t>
            </w:r>
          </w:p>
          <w:p>
            <w:pPr>
              <w:pStyle w:val="27"/>
              <w:keepNext w:val="0"/>
              <w:keepLines w:val="0"/>
              <w:pageBreakBefore w:val="0"/>
              <w:widowControl w:val="0"/>
              <w:numPr>
                <w:ilvl w:val="1"/>
                <w:numId w:val="7"/>
              </w:numPr>
              <w:kinsoku/>
              <w:wordWrap/>
              <w:overflowPunct/>
              <w:topLinePunct w:val="0"/>
              <w:autoSpaceDE/>
              <w:autoSpaceDN/>
              <w:bidi w:val="0"/>
              <w:adjustRightInd/>
              <w:snapToGrid/>
              <w:ind w:left="1440" w:firstLineChars="0"/>
              <w:textAlignment w:val="auto"/>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Option 2: Reduce the 1280ms duration for known condition </w:t>
            </w:r>
          </w:p>
          <w:p>
            <w:pPr>
              <w:pStyle w:val="4"/>
              <w:rPr>
                <w:rFonts w:hint="default" w:eastAsia="宋体"/>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lang w:val="en-US" w:eastAsia="zh-CN" w:bidi="ar-SA"/>
              </w:rPr>
              <w:t>Further enhancement on TCI switching delay based on Rel-17 TCI design can be discussed in FeMIMO WI.</w:t>
            </w:r>
          </w:p>
        </w:tc>
      </w:tr>
    </w:tbl>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HST FR2 scenario, UE can move about 124m during 1280ms at the speed of 350km/h.Considering the ISD is 700m, so UE can move about 1/5 ISD within 1280ms. For Scenario A, it has been agreed that each RRH transmits 1 beam per panel, so the serving RRH would cover the UE with only 1 beam. During 1280ms, the number of L1-RSRP measurements which should be kept by UE would not large, so we believe which will not bring challenge to memory capacity of UE. For Scenario B, once the beam number is not much larger than the number in Scenario A, we can conclude the similar analysis, i.e. the memory capacity of UE is not bottleneck for the case of high speed moving. Therefore, no need to reduce the TCI state switching requirement so as to relax the memory capacity of UE.</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Proposal 1: </w:t>
      </w:r>
      <w:bookmarkStart w:id="1" w:name="OLE_LINK3"/>
      <w:r>
        <w:rPr>
          <w:rFonts w:hint="eastAsia" w:eastAsia="宋体" w:cs="Times New Roman"/>
          <w:b/>
          <w:bCs/>
          <w:color w:val="auto"/>
          <w:sz w:val="20"/>
          <w:szCs w:val="20"/>
          <w:highlight w:val="none"/>
          <w:lang w:val="en-US" w:eastAsia="zh-CN" w:bidi="ar-SA"/>
        </w:rPr>
        <w:t>The memory capacity of UE is not bottleneck for the case of high speed moving. Therefore, no need to reduce the TCI state switching requirement so as to relax the memory capacity of UE.</w:t>
      </w:r>
      <w:bookmarkEnd w:id="1"/>
    </w:p>
    <w:p>
      <w:pPr>
        <w:pStyle w:val="3"/>
        <w:bidi w:val="0"/>
        <w:rPr>
          <w:rFonts w:hint="eastAsia"/>
          <w:color w:val="auto"/>
          <w:sz w:val="28"/>
          <w:szCs w:val="28"/>
          <w:lang w:val="en-US" w:eastAsia="zh-CN"/>
        </w:rPr>
      </w:pPr>
      <w:r>
        <w:rPr>
          <w:rFonts w:hint="eastAsia"/>
          <w:color w:val="auto"/>
          <w:sz w:val="28"/>
          <w:szCs w:val="28"/>
          <w:lang w:val="en-US" w:eastAsia="zh-CN"/>
        </w:rPr>
        <w:t>2.2 The RLM/BFD requirements for DRX &lt;=80ms for FR2 HST scenarios</w:t>
      </w:r>
    </w:p>
    <w:p>
      <w:pPr>
        <w:bidi w:val="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CBD, it has been agreed that no enhancement on CBD requirements for DRX &lt;=80ms. But for RLM/BFD, there is still different view on whether the evaluation period shall be further reduced. Two candidates discussed during 101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8"/>
              </w:numPr>
              <w:ind w:left="840" w:leftChars="0" w:hanging="420" w:firstLineChars="0"/>
              <w:rPr>
                <w:rFonts w:hint="eastAsia"/>
                <w:lang w:val="en-US" w:eastAsia="zh-CN"/>
              </w:rPr>
            </w:pPr>
            <w:r>
              <w:rPr>
                <w:rFonts w:hint="eastAsia"/>
                <w:lang w:val="en-US" w:eastAsia="zh-CN"/>
              </w:rPr>
              <w:t>RAN4 will further study the RLM/BFD requirements for DRX &lt;=80ms for FR2 HST scenarios</w:t>
            </w:r>
          </w:p>
          <w:p>
            <w:pPr>
              <w:pStyle w:val="27"/>
              <w:keepNext w:val="0"/>
              <w:keepLines w:val="0"/>
              <w:pageBreakBefore w:val="0"/>
              <w:widowControl w:val="0"/>
              <w:numPr>
                <w:ilvl w:val="1"/>
                <w:numId w:val="7"/>
              </w:numPr>
              <w:kinsoku/>
              <w:wordWrap/>
              <w:overflowPunct/>
              <w:topLinePunct w:val="0"/>
              <w:autoSpaceDE/>
              <w:autoSpaceDN/>
              <w:bidi w:val="0"/>
              <w:adjustRightInd/>
              <w:snapToGrid/>
              <w:ind w:left="1440" w:firstLineChars="0"/>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Option 1: following RX beam factor for set-1 and set-2</w:t>
            </w:r>
          </w:p>
          <w:p>
            <w:pPr>
              <w:pStyle w:val="27"/>
              <w:keepNext w:val="0"/>
              <w:keepLines w:val="0"/>
              <w:pageBreakBefore w:val="0"/>
              <w:widowControl w:val="0"/>
              <w:numPr>
                <w:ilvl w:val="1"/>
                <w:numId w:val="7"/>
              </w:numPr>
              <w:kinsoku/>
              <w:wordWrap/>
              <w:overflowPunct/>
              <w:topLinePunct w:val="0"/>
              <w:autoSpaceDE/>
              <w:autoSpaceDN/>
              <w:bidi w:val="0"/>
              <w:adjustRightInd/>
              <w:snapToGrid/>
              <w:ind w:left="1440" w:firstLineChars="0"/>
              <w:textAlignment w:val="auto"/>
              <w:rPr>
                <w:rFonts w:hint="default" w:eastAsia="宋体"/>
                <w:color w:val="auto"/>
                <w:sz w:val="20"/>
                <w:szCs w:val="20"/>
                <w:highlight w:val="none"/>
                <w:vertAlign w:val="baseline"/>
                <w:lang w:val="en-US" w:eastAsia="zh-CN"/>
              </w:rPr>
            </w:pPr>
            <w:r>
              <w:rPr>
                <w:rFonts w:hint="eastAsia" w:ascii="Times New Roman" w:hAnsi="Times New Roman" w:eastAsia="宋体" w:cs="Times New Roman"/>
                <w:color w:val="auto"/>
                <w:kern w:val="0"/>
                <w:sz w:val="20"/>
                <w:szCs w:val="20"/>
                <w:highlight w:val="none"/>
                <w:lang w:val="en-US" w:eastAsia="zh-CN" w:bidi="ar-SA"/>
              </w:rPr>
              <w:t>Option 2: The existing RLM/BFD requirements for DRX &lt;=80ms is applied</w:t>
            </w:r>
          </w:p>
        </w:tc>
      </w:tr>
    </w:tbl>
    <w:p>
      <w:pPr>
        <w:bidi w:val="0"/>
        <w:rPr>
          <w:rFonts w:hint="default" w:eastAsia="宋体"/>
          <w:color w:val="auto"/>
          <w:sz w:val="20"/>
          <w:szCs w:val="20"/>
          <w:highlight w:val="none"/>
          <w:lang w:val="en-US" w:eastAsia="zh-CN"/>
        </w:rPr>
      </w:pPr>
    </w:p>
    <w:p>
      <w:pPr>
        <w:bidi w:val="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The </w:t>
      </w:r>
      <w:r>
        <w:rPr>
          <w:rFonts w:hint="default" w:eastAsia="宋体"/>
          <w:color w:val="auto"/>
          <w:sz w:val="20"/>
          <w:szCs w:val="20"/>
          <w:highlight w:val="none"/>
          <w:lang w:val="en-US" w:eastAsia="zh-CN"/>
        </w:rPr>
        <w:t xml:space="preserve">evaluation period has been discussed in FR1 HST scenario </w:t>
      </w:r>
      <w:r>
        <w:rPr>
          <w:rFonts w:hint="eastAsia" w:eastAsia="宋体"/>
          <w:color w:val="auto"/>
          <w:sz w:val="20"/>
          <w:szCs w:val="20"/>
          <w:highlight w:val="none"/>
          <w:lang w:val="en-US" w:eastAsia="zh-CN"/>
        </w:rPr>
        <w:t xml:space="preserve">during Rel-16 </w:t>
      </w:r>
      <w:r>
        <w:rPr>
          <w:rFonts w:hint="default" w:eastAsia="宋体"/>
          <w:color w:val="auto"/>
          <w:sz w:val="20"/>
          <w:szCs w:val="20"/>
          <w:highlight w:val="none"/>
          <w:lang w:val="en-US" w:eastAsia="zh-CN"/>
        </w:rPr>
        <w:t>but conclude no need to further reduce the period. As long as the DRX cycle can be capped in HST scenarios, e.g., 80ms, no need to enhance the requirements</w:t>
      </w:r>
      <w:r>
        <w:rPr>
          <w:rFonts w:hint="eastAsia" w:eastAsia="宋体"/>
          <w:color w:val="auto"/>
          <w:sz w:val="20"/>
          <w:szCs w:val="20"/>
          <w:highlight w:val="none"/>
          <w:lang w:val="en-US" w:eastAsia="zh-CN"/>
        </w:rPr>
        <w:t xml:space="preserve">. And some company believes that since UE is on a fixed trajectory with RRHs serving it along the route, RLM/BFD is unlikely happen with proper RRH deployment. </w:t>
      </w:r>
    </w:p>
    <w:p>
      <w:pPr>
        <w:bidi w:val="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But since the update RX beam number has been approved comparing with legacy Rel-16, so the UE will not sweep 8 RX beams any more but only sweep 2 or 6 RX beams, so we believe the corresponding update is reasonable for RLM/BFD, after all the two operations do not need strong security as CBD. So we prefer Option 1.</w:t>
      </w:r>
    </w:p>
    <w:p>
      <w:pPr>
        <w:pStyle w:val="4"/>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color w:val="auto"/>
          <w:sz w:val="20"/>
          <w:szCs w:val="20"/>
          <w:highlight w:val="lightGray"/>
          <w:lang w:val="en-US" w:eastAsia="zh-CN"/>
        </w:rPr>
      </w:pPr>
      <w:r>
        <w:rPr>
          <w:rFonts w:hint="eastAsia" w:eastAsia="宋体" w:cs="Times New Roman"/>
          <w:b/>
          <w:bCs/>
          <w:color w:val="auto"/>
          <w:sz w:val="20"/>
          <w:szCs w:val="20"/>
          <w:highlight w:val="none"/>
          <w:lang w:val="en-US" w:eastAsia="zh-CN" w:bidi="ar-SA"/>
        </w:rPr>
        <w:t xml:space="preserve">Proposal 2: </w:t>
      </w:r>
      <w:bookmarkStart w:id="2" w:name="OLE_LINK1"/>
      <w:r>
        <w:rPr>
          <w:rFonts w:hint="eastAsia" w:eastAsia="宋体" w:cs="Times New Roman"/>
          <w:b/>
          <w:bCs/>
          <w:color w:val="auto"/>
          <w:sz w:val="20"/>
          <w:szCs w:val="20"/>
          <w:highlight w:val="none"/>
          <w:lang w:val="en-US" w:eastAsia="zh-CN" w:bidi="ar-SA"/>
        </w:rPr>
        <w:t>For RLM/BFD requirements for DRX &lt;=80ms, following RX beam factor for Set-1 and Set-2.</w:t>
      </w:r>
    </w:p>
    <w:bookmarkEnd w:id="2"/>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Signalling characteristics for HST FR2</w:t>
      </w:r>
      <w:r>
        <w:rPr>
          <w:rFonts w:eastAsia="宋体"/>
          <w:bCs/>
          <w:color w:val="auto"/>
          <w:sz w:val="20"/>
          <w:szCs w:val="20"/>
          <w:lang w:val="en-GB" w:eastAsia="zh-CN"/>
        </w:rPr>
        <w:t>:</w:t>
      </w:r>
    </w:p>
    <w:p>
      <w:pPr>
        <w:pStyle w:val="4"/>
        <w:keepNext w:val="0"/>
        <w:keepLines w:val="0"/>
        <w:pageBreakBefore w:val="0"/>
        <w:widowControl/>
        <w:kinsoku/>
        <w:wordWrap/>
        <w:overflowPunct/>
        <w:topLinePunct w:val="0"/>
        <w:autoSpaceDE/>
        <w:autoSpaceDN/>
        <w:bidi w:val="0"/>
        <w:adjustRightInd/>
        <w:snapToGrid/>
        <w:spacing w:after="120"/>
        <w:textAlignment w:val="auto"/>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lang w:val="en-US" w:eastAsia="zh-CN" w:bidi="ar-SA"/>
        </w:rPr>
        <w:t xml:space="preserve">Proposal 1: </w:t>
      </w:r>
      <w:r>
        <w:rPr>
          <w:rFonts w:hint="eastAsia" w:eastAsia="宋体" w:cs="Times New Roman"/>
          <w:b/>
          <w:bCs/>
          <w:color w:val="auto"/>
          <w:sz w:val="20"/>
          <w:szCs w:val="20"/>
          <w:highlight w:val="none"/>
          <w:lang w:val="en-US" w:eastAsia="zh-CN" w:bidi="ar-SA"/>
        </w:rPr>
        <w:t>The memory capacity of UE is not bottleneck for the case of high speed moving. Therefore, no need to reduce the TCI state switching requirement so as to relax the memory capacity of UE.</w:t>
      </w:r>
    </w:p>
    <w:p>
      <w:pPr>
        <w:pStyle w:val="4"/>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2: </w:t>
      </w:r>
      <w:r>
        <w:rPr>
          <w:rFonts w:hint="eastAsia" w:eastAsia="宋体" w:cs="Times New Roman"/>
          <w:b/>
          <w:bCs/>
          <w:color w:val="auto"/>
          <w:sz w:val="20"/>
          <w:szCs w:val="20"/>
          <w:highlight w:val="none"/>
          <w:lang w:val="en-US" w:eastAsia="zh-CN" w:bidi="ar-SA"/>
        </w:rPr>
        <w:t>For RLM/BFD requirements for DRX &lt;=80ms, following RX beam factor for Set-1 and Set-2.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9"/>
        </w:numPr>
        <w:ind w:leftChars="0"/>
        <w:rPr>
          <w:rFonts w:hint="default" w:eastAsia="宋体"/>
          <w:color w:val="auto"/>
          <w:lang w:val="en-US" w:eastAsia="zh-CN"/>
        </w:rPr>
      </w:pPr>
      <w:r>
        <w:rPr>
          <w:rFonts w:hint="eastAsia"/>
          <w:color w:val="auto"/>
          <w:lang w:val="en-US" w:eastAsia="zh-CN"/>
        </w:rPr>
        <w:t>R4-2</w:t>
      </w:r>
      <w:r>
        <w:rPr>
          <w:rFonts w:hint="eastAsia"/>
          <w:color w:val="auto"/>
          <w:highlight w:val="none"/>
          <w:lang w:val="en-US" w:eastAsia="zh-CN"/>
        </w:rPr>
        <w:t>120416</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for FR2 HST RRM part 2</w:t>
      </w:r>
      <w:r>
        <w:rPr>
          <w:rFonts w:hint="default"/>
          <w:color w:val="auto"/>
          <w:lang w:val="en-US" w:eastAsia="zh-CN"/>
        </w:rPr>
        <w:t>”</w:t>
      </w:r>
      <w:r>
        <w:rPr>
          <w:rFonts w:hint="eastAsia"/>
          <w:color w:val="auto"/>
          <w:lang w:val="en-US" w:eastAsia="zh-CN"/>
        </w:rPr>
        <w:t xml:space="preserve">, RAN4#101 e-meeting, Samsung.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53140F1"/>
    <w:multiLevelType w:val="multilevel"/>
    <w:tmpl w:val="253140F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微软雅黑" w:hAnsi="微软雅黑"/>
      </w:rPr>
    </w:lvl>
    <w:lvl w:ilvl="2" w:tentative="0">
      <w:start w:val="1"/>
      <w:numFmt w:val="bullet"/>
      <w:lvlText w:val=""/>
      <w:lvlJc w:val="left"/>
      <w:pPr>
        <w:tabs>
          <w:tab w:val="left" w:pos="1260"/>
        </w:tabs>
        <w:ind w:left="1680" w:leftChars="0" w:hanging="420" w:firstLineChars="0"/>
      </w:pPr>
      <w:rPr>
        <w:rFonts w:hint="default" w:ascii="微软雅黑" w:hAnsi="微软雅黑"/>
      </w:rPr>
    </w:lvl>
    <w:lvl w:ilvl="3" w:tentative="0">
      <w:start w:val="1"/>
      <w:numFmt w:val="bullet"/>
      <w:lvlText w:val=""/>
      <w:lvlJc w:val="left"/>
      <w:pPr>
        <w:tabs>
          <w:tab w:val="left" w:pos="1680"/>
        </w:tabs>
        <w:ind w:left="2100" w:leftChars="0" w:hanging="420" w:firstLineChars="0"/>
      </w:pPr>
      <w:rPr>
        <w:rFonts w:hint="default" w:ascii="微软雅黑" w:hAnsi="微软雅黑"/>
      </w:rPr>
    </w:lvl>
    <w:lvl w:ilvl="4" w:tentative="0">
      <w:start w:val="1"/>
      <w:numFmt w:val="bullet"/>
      <w:lvlText w:val=""/>
      <w:lvlJc w:val="left"/>
      <w:pPr>
        <w:tabs>
          <w:tab w:val="left" w:pos="2100"/>
        </w:tabs>
        <w:ind w:left="2520" w:leftChars="0" w:hanging="420" w:firstLineChars="0"/>
      </w:pPr>
      <w:rPr>
        <w:rFonts w:hint="default" w:ascii="微软雅黑" w:hAnsi="微软雅黑"/>
      </w:rPr>
    </w:lvl>
    <w:lvl w:ilvl="5" w:tentative="0">
      <w:start w:val="1"/>
      <w:numFmt w:val="bullet"/>
      <w:lvlText w:val=""/>
      <w:lvlJc w:val="left"/>
      <w:pPr>
        <w:tabs>
          <w:tab w:val="left" w:pos="2520"/>
        </w:tabs>
        <w:ind w:left="2940" w:leftChars="0" w:hanging="420" w:firstLineChars="0"/>
      </w:pPr>
      <w:rPr>
        <w:rFonts w:hint="default" w:ascii="微软雅黑" w:hAnsi="微软雅黑"/>
      </w:rPr>
    </w:lvl>
    <w:lvl w:ilvl="6" w:tentative="0">
      <w:start w:val="1"/>
      <w:numFmt w:val="bullet"/>
      <w:lvlText w:val=""/>
      <w:lvlJc w:val="left"/>
      <w:pPr>
        <w:tabs>
          <w:tab w:val="left" w:pos="2940"/>
        </w:tabs>
        <w:ind w:left="3360" w:leftChars="0" w:hanging="420" w:firstLineChars="0"/>
      </w:pPr>
      <w:rPr>
        <w:rFonts w:hint="default" w:ascii="微软雅黑" w:hAnsi="微软雅黑"/>
      </w:rPr>
    </w:lvl>
    <w:lvl w:ilvl="7" w:tentative="0">
      <w:start w:val="1"/>
      <w:numFmt w:val="bullet"/>
      <w:lvlText w:val=""/>
      <w:lvlJc w:val="left"/>
      <w:pPr>
        <w:tabs>
          <w:tab w:val="left" w:pos="3360"/>
        </w:tabs>
        <w:ind w:left="3780" w:leftChars="0" w:hanging="420" w:firstLineChars="0"/>
      </w:pPr>
      <w:rPr>
        <w:rFonts w:hint="default" w:ascii="微软雅黑" w:hAnsi="微软雅黑"/>
      </w:rPr>
    </w:lvl>
    <w:lvl w:ilvl="8" w:tentative="0">
      <w:start w:val="1"/>
      <w:numFmt w:val="bullet"/>
      <w:lvlText w:val=""/>
      <w:lvlJc w:val="left"/>
      <w:pPr>
        <w:tabs>
          <w:tab w:val="left" w:pos="3780"/>
        </w:tabs>
        <w:ind w:left="4200" w:leftChars="0" w:hanging="420" w:firstLineChars="0"/>
      </w:pPr>
      <w:rPr>
        <w:rFonts w:hint="default" w:ascii="微软雅黑" w:hAnsi="微软雅黑"/>
      </w:rPr>
    </w:lvl>
  </w:abstractNum>
  <w:abstractNum w:abstractNumId="3">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AB255FE"/>
    <w:multiLevelType w:val="multilevel"/>
    <w:tmpl w:val="7AB255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4"/>
  </w:num>
  <w:num w:numId="3">
    <w:abstractNumId w:val="1"/>
  </w:num>
  <w:num w:numId="4">
    <w:abstractNumId w:val="6"/>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47A3CFF"/>
    <w:rsid w:val="05317828"/>
    <w:rsid w:val="05477E90"/>
    <w:rsid w:val="05C42923"/>
    <w:rsid w:val="06963BA6"/>
    <w:rsid w:val="07CD3CDD"/>
    <w:rsid w:val="0855671D"/>
    <w:rsid w:val="089009EB"/>
    <w:rsid w:val="09716BCA"/>
    <w:rsid w:val="09D64B23"/>
    <w:rsid w:val="09E644B8"/>
    <w:rsid w:val="0B3D3C2F"/>
    <w:rsid w:val="0BB0429A"/>
    <w:rsid w:val="0BFF5FC6"/>
    <w:rsid w:val="10997F43"/>
    <w:rsid w:val="10DE7BAE"/>
    <w:rsid w:val="120774A3"/>
    <w:rsid w:val="1481754F"/>
    <w:rsid w:val="148F5721"/>
    <w:rsid w:val="14AC57CD"/>
    <w:rsid w:val="164514BE"/>
    <w:rsid w:val="170F06AA"/>
    <w:rsid w:val="17225508"/>
    <w:rsid w:val="180A6E32"/>
    <w:rsid w:val="183F2CD2"/>
    <w:rsid w:val="18AF55E3"/>
    <w:rsid w:val="18B1519A"/>
    <w:rsid w:val="18CD0507"/>
    <w:rsid w:val="195D7D48"/>
    <w:rsid w:val="1AD01A1B"/>
    <w:rsid w:val="1B61065A"/>
    <w:rsid w:val="1BBF3927"/>
    <w:rsid w:val="1C177B08"/>
    <w:rsid w:val="1C9001C6"/>
    <w:rsid w:val="1CBA2101"/>
    <w:rsid w:val="1D0573D7"/>
    <w:rsid w:val="1D153DC4"/>
    <w:rsid w:val="1D223E0B"/>
    <w:rsid w:val="1E2867E9"/>
    <w:rsid w:val="1E853F6F"/>
    <w:rsid w:val="1E9C7BCC"/>
    <w:rsid w:val="1ECC1E3C"/>
    <w:rsid w:val="21014C39"/>
    <w:rsid w:val="21244EB1"/>
    <w:rsid w:val="213964D8"/>
    <w:rsid w:val="21F13629"/>
    <w:rsid w:val="24122135"/>
    <w:rsid w:val="24D4257E"/>
    <w:rsid w:val="2572202B"/>
    <w:rsid w:val="2605683C"/>
    <w:rsid w:val="26BB1419"/>
    <w:rsid w:val="27B748AA"/>
    <w:rsid w:val="27CB4CB9"/>
    <w:rsid w:val="281C2F58"/>
    <w:rsid w:val="29642C4B"/>
    <w:rsid w:val="2A34628C"/>
    <w:rsid w:val="2A724D05"/>
    <w:rsid w:val="2A7E505C"/>
    <w:rsid w:val="2BC05B2C"/>
    <w:rsid w:val="2BD617C5"/>
    <w:rsid w:val="2C112837"/>
    <w:rsid w:val="2E014790"/>
    <w:rsid w:val="2EE77680"/>
    <w:rsid w:val="2F2F0FC8"/>
    <w:rsid w:val="301C6BB6"/>
    <w:rsid w:val="319708F2"/>
    <w:rsid w:val="31B14C9E"/>
    <w:rsid w:val="33C522D7"/>
    <w:rsid w:val="34807672"/>
    <w:rsid w:val="35B06C6A"/>
    <w:rsid w:val="36941AA2"/>
    <w:rsid w:val="36D37423"/>
    <w:rsid w:val="379D23F9"/>
    <w:rsid w:val="3A185287"/>
    <w:rsid w:val="3A1F46B8"/>
    <w:rsid w:val="3A692CD0"/>
    <w:rsid w:val="3B270929"/>
    <w:rsid w:val="3B3D5571"/>
    <w:rsid w:val="3B673620"/>
    <w:rsid w:val="3B9A1F29"/>
    <w:rsid w:val="3CE4646B"/>
    <w:rsid w:val="3D5E7AA8"/>
    <w:rsid w:val="3D6F2596"/>
    <w:rsid w:val="405F175E"/>
    <w:rsid w:val="40C765F3"/>
    <w:rsid w:val="42F869D2"/>
    <w:rsid w:val="43553536"/>
    <w:rsid w:val="44972678"/>
    <w:rsid w:val="451632B9"/>
    <w:rsid w:val="45F60A50"/>
    <w:rsid w:val="46142D0C"/>
    <w:rsid w:val="46B036BF"/>
    <w:rsid w:val="47282363"/>
    <w:rsid w:val="49DC4EAC"/>
    <w:rsid w:val="49E55BC5"/>
    <w:rsid w:val="4C1C63D6"/>
    <w:rsid w:val="4C864A35"/>
    <w:rsid w:val="4E015C76"/>
    <w:rsid w:val="4E4A2325"/>
    <w:rsid w:val="501A6C55"/>
    <w:rsid w:val="51B14BED"/>
    <w:rsid w:val="52526454"/>
    <w:rsid w:val="525C1CEF"/>
    <w:rsid w:val="528B5767"/>
    <w:rsid w:val="52D33625"/>
    <w:rsid w:val="53A3105E"/>
    <w:rsid w:val="53C64B93"/>
    <w:rsid w:val="548A6C60"/>
    <w:rsid w:val="55B1164D"/>
    <w:rsid w:val="55B4735E"/>
    <w:rsid w:val="56371459"/>
    <w:rsid w:val="56484633"/>
    <w:rsid w:val="598C40A0"/>
    <w:rsid w:val="59DA647E"/>
    <w:rsid w:val="5A556E1A"/>
    <w:rsid w:val="5E494511"/>
    <w:rsid w:val="5EB44FC0"/>
    <w:rsid w:val="5FBA395F"/>
    <w:rsid w:val="635902CD"/>
    <w:rsid w:val="64706BBE"/>
    <w:rsid w:val="64F2095B"/>
    <w:rsid w:val="67A858DB"/>
    <w:rsid w:val="68C401C3"/>
    <w:rsid w:val="69A833BD"/>
    <w:rsid w:val="6D566F0F"/>
    <w:rsid w:val="6D836F72"/>
    <w:rsid w:val="6DDE3DAF"/>
    <w:rsid w:val="6E3241BE"/>
    <w:rsid w:val="6EB97A9D"/>
    <w:rsid w:val="6EF10A90"/>
    <w:rsid w:val="6FFF1868"/>
    <w:rsid w:val="715F4C2D"/>
    <w:rsid w:val="722F78FB"/>
    <w:rsid w:val="72BF60CA"/>
    <w:rsid w:val="733D0D32"/>
    <w:rsid w:val="73D411F1"/>
    <w:rsid w:val="753811DE"/>
    <w:rsid w:val="75BE67D4"/>
    <w:rsid w:val="75C759C1"/>
    <w:rsid w:val="762D64F3"/>
    <w:rsid w:val="775B4604"/>
    <w:rsid w:val="77C067C3"/>
    <w:rsid w:val="78911E31"/>
    <w:rsid w:val="7A9367CB"/>
    <w:rsid w:val="7AF22571"/>
    <w:rsid w:val="7B69224B"/>
    <w:rsid w:val="7C1C35A7"/>
    <w:rsid w:val="7C45431D"/>
    <w:rsid w:val="7D3219D5"/>
    <w:rsid w:val="7DDD0501"/>
    <w:rsid w:val="7DE51372"/>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2022-01-10T02:27:50Z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